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264C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–202</w:t>
            </w:r>
            <w:r w:rsidR="00AC6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590F19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информационно-консультативная поддержка в общем количестве субъектов малого и среднего предпринимательства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</w:tcPr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E38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местного бюджета. Все</w:t>
            </w:r>
            <w:r w:rsidR="00D6096A" w:rsidRPr="00E00E38">
              <w:rPr>
                <w:rFonts w:ascii="Times New Roman" w:hAnsi="Times New Roman" w:cs="Times New Roman"/>
                <w:sz w:val="28"/>
                <w:szCs w:val="28"/>
              </w:rPr>
              <w:t xml:space="preserve">го по </w:t>
            </w:r>
            <w:r w:rsidR="00D6096A" w:rsidRPr="00E0123A">
              <w:rPr>
                <w:rFonts w:ascii="Times New Roman" w:hAnsi="Times New Roman" w:cs="Times New Roman"/>
                <w:sz w:val="28"/>
                <w:szCs w:val="28"/>
              </w:rPr>
              <w:t>подпрограмме на</w:t>
            </w:r>
            <w:r w:rsidR="00BC182D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E0123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C182D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413933" w:rsidRPr="00E012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096A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1 773,8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C182D" w:rsidRPr="00E0123A" w:rsidRDefault="00273C28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632,8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E0123A" w:rsidRDefault="00CF2223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570,5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E0123A" w:rsidRDefault="00AC615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570,5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AC615D" w:rsidRDefault="00273C28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1 681,5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560,5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560,5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560,5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92,3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E0123A" w:rsidRDefault="00273C28" w:rsidP="00273C28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E0123A" w:rsidRDefault="00CF2223" w:rsidP="00CF2223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2023 год – 10,0 тыс. рублей</w:t>
            </w:r>
            <w:r w:rsidR="00AC615D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AC615D" w:rsidP="00AC615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2024 год – 10,0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Pr="00927B60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>
        <w:rPr>
          <w:rFonts w:ascii="Times New Roman" w:hAnsi="Times New Roman" w:cs="Times New Roman"/>
          <w:sz w:val="28"/>
          <w:szCs w:val="28"/>
        </w:rPr>
        <w:t>консультационная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17089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C5204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7089E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5B601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7089E">
        <w:rPr>
          <w:rFonts w:ascii="Times New Roman" w:hAnsi="Times New Roman" w:cs="Times New Roman"/>
          <w:sz w:val="28"/>
          <w:szCs w:val="28"/>
        </w:rPr>
        <w:t>3.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EE6A42">
        <w:rPr>
          <w:rFonts w:ascii="Times New Roman" w:hAnsi="Times New Roman" w:cs="Times New Roman"/>
          <w:sz w:val="28"/>
          <w:szCs w:val="28"/>
        </w:rPr>
        <w:t>298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EE6A42">
        <w:rPr>
          <w:rFonts w:ascii="Times New Roman" w:hAnsi="Times New Roman" w:cs="Times New Roman"/>
          <w:sz w:val="28"/>
          <w:szCs w:val="28"/>
        </w:rPr>
        <w:t>7,0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A01C3E">
        <w:rPr>
          <w:rFonts w:ascii="Times New Roman" w:hAnsi="Times New Roman" w:cs="Times New Roman"/>
          <w:sz w:val="28"/>
          <w:szCs w:val="28"/>
        </w:rPr>
        <w:t>130 696,36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>средств, мотоциклов, бытовых изделий и предметов личного пользования приходится 84,7%, строительства – 9,3%.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том числе: здравоохранение</w:t>
      </w:r>
      <w:proofErr w:type="gramEnd"/>
      <w:r w:rsidRPr="00C2116B">
        <w:rPr>
          <w:rFonts w:ascii="Times New Roman" w:hAnsi="Times New Roman" w:cs="Times New Roman"/>
          <w:sz w:val="28"/>
          <w:szCs w:val="28"/>
        </w:rPr>
        <w:t xml:space="preserve"> – 1,4%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045181">
        <w:rPr>
          <w:rFonts w:ascii="Times New Roman" w:hAnsi="Times New Roman" w:cs="Times New Roman"/>
          <w:sz w:val="28"/>
          <w:szCs w:val="28"/>
        </w:rPr>
        <w:t>21 250,36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2735">
        <w:rPr>
          <w:rFonts w:ascii="Times New Roman" w:hAnsi="Times New Roman" w:cs="Times New Roman"/>
          <w:sz w:val="28"/>
          <w:szCs w:val="28"/>
        </w:rPr>
        <w:t>202</w:t>
      </w:r>
      <w:r w:rsidR="00144066">
        <w:rPr>
          <w:rFonts w:ascii="Times New Roman" w:hAnsi="Times New Roman" w:cs="Times New Roman"/>
          <w:sz w:val="28"/>
          <w:szCs w:val="28"/>
        </w:rPr>
        <w:t>4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144066">
        <w:rPr>
          <w:rFonts w:ascii="Times New Roman" w:hAnsi="Times New Roman" w:cs="Times New Roman"/>
          <w:sz w:val="28"/>
          <w:szCs w:val="28"/>
        </w:rPr>
        <w:t>4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предпринимательства, которым оказана информационно-консультативная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E0123A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E0123A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>Развитие и поддержка субъектов малого и среднего предпринимательства в ЗАТО п. Солнечный Красноярского края</w:t>
      </w:r>
      <w:r w:rsidRPr="00E0123A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E0123A" w:rsidRPr="00E0123A">
        <w:rPr>
          <w:rFonts w:ascii="Times New Roman" w:hAnsi="Times New Roman" w:cs="Times New Roman"/>
          <w:sz w:val="28"/>
          <w:szCs w:val="28"/>
        </w:rPr>
        <w:t>1 773,8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E0123A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E0123A">
        <w:rPr>
          <w:rFonts w:ascii="Times New Roman" w:hAnsi="Times New Roman" w:cs="Times New Roman"/>
          <w:sz w:val="28"/>
          <w:szCs w:val="28"/>
        </w:rPr>
        <w:t>:</w:t>
      </w:r>
    </w:p>
    <w:p w:rsidR="00A07215" w:rsidRPr="00E0123A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2022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632,8</w:t>
      </w:r>
      <w:r w:rsidRPr="00E0123A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E0123A">
        <w:rPr>
          <w:rFonts w:ascii="Times New Roman" w:hAnsi="Times New Roman" w:cs="Times New Roman"/>
          <w:sz w:val="28"/>
          <w:szCs w:val="28"/>
        </w:rPr>
        <w:t xml:space="preserve"> </w:t>
      </w:r>
      <w:r w:rsidR="00E0123A" w:rsidRPr="00E0123A">
        <w:rPr>
          <w:rFonts w:ascii="Times New Roman" w:hAnsi="Times New Roman" w:cs="Times New Roman"/>
          <w:sz w:val="28"/>
          <w:szCs w:val="28"/>
        </w:rPr>
        <w:t>72,3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E0123A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2023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570,5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</w:t>
      </w:r>
      <w:r w:rsidR="00E00E38" w:rsidRPr="00E0123A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2024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570,5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руб.</w:t>
      </w:r>
      <w:bookmarkStart w:id="0" w:name="_GoBack"/>
      <w:bookmarkEnd w:id="0"/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635C"/>
    <w:rsid w:val="000C7470"/>
    <w:rsid w:val="001079A0"/>
    <w:rsid w:val="00112941"/>
    <w:rsid w:val="00114184"/>
    <w:rsid w:val="00114E0C"/>
    <w:rsid w:val="00116225"/>
    <w:rsid w:val="00125685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3AED"/>
    <w:rsid w:val="00456B3C"/>
    <w:rsid w:val="004642AA"/>
    <w:rsid w:val="00477E00"/>
    <w:rsid w:val="004A66D8"/>
    <w:rsid w:val="004C0B37"/>
    <w:rsid w:val="004C3ECA"/>
    <w:rsid w:val="004C53F3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3716"/>
    <w:rsid w:val="00CE3730"/>
    <w:rsid w:val="00CF2223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43402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912E5-0B74-438F-BD19-F37AAE1A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5071</TotalTime>
  <Pages>5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253</cp:revision>
  <cp:lastPrinted>2016-06-09T07:38:00Z</cp:lastPrinted>
  <dcterms:created xsi:type="dcterms:W3CDTF">2013-08-20T03:37:00Z</dcterms:created>
  <dcterms:modified xsi:type="dcterms:W3CDTF">2021-12-06T02:03:00Z</dcterms:modified>
</cp:coreProperties>
</file>